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68"/>
        <w:gridCol w:w="4680"/>
      </w:tblGrid>
      <w:tr w:rsidR="00FA56CC" w:rsidTr="00923D9D">
        <w:tc>
          <w:tcPr>
            <w:tcW w:w="4968" w:type="dxa"/>
          </w:tcPr>
          <w:p w:rsidR="00FA56CC" w:rsidRDefault="00FA56CC" w:rsidP="00410873">
            <w:pPr>
              <w:tabs>
                <w:tab w:val="left" w:pos="5040"/>
              </w:tabs>
              <w:autoSpaceDE w:val="0"/>
              <w:autoSpaceDN w:val="0"/>
              <w:adjustRightInd w:val="0"/>
              <w:spacing w:after="0" w:line="240" w:lineRule="auto"/>
            </w:pP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5D10A8" w:rsidP="00410873">
            <w:pPr>
              <w:pStyle w:val="a4"/>
              <w:tabs>
                <w:tab w:val="left" w:pos="5040"/>
                <w:tab w:val="left" w:pos="5220"/>
              </w:tabs>
              <w:spacing w:line="240" w:lineRule="auto"/>
              <w:ind w:firstLine="4"/>
              <w:jc w:val="left"/>
              <w:rPr>
                <w:sz w:val="24"/>
                <w:szCs w:val="24"/>
              </w:rPr>
            </w:pPr>
            <w:r>
              <w:rPr>
                <w:sz w:val="24"/>
                <w:szCs w:val="24"/>
              </w:rPr>
              <w:t>Постановлением администраци Шахровского</w:t>
            </w:r>
            <w:r w:rsidR="00FA56CC" w:rsidRPr="00410873">
              <w:rPr>
                <w:sz w:val="24"/>
                <w:szCs w:val="24"/>
              </w:rPr>
              <w:t xml:space="preserve"> сельского поселения                                                                       Омутнинского района Кировской  области</w:t>
            </w:r>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мун</w:t>
      </w:r>
      <w:r w:rsidR="005D10A8">
        <w:rPr>
          <w:rFonts w:ascii="Times New Roman" w:hAnsi="Times New Roman"/>
          <w:b/>
          <w:bCs/>
          <w:sz w:val="24"/>
          <w:szCs w:val="24"/>
          <w:lang w:eastAsia="ru-RU"/>
        </w:rPr>
        <w:t>иципального образования Шахров</w:t>
      </w:r>
      <w:r w:rsidRPr="005C2FD7">
        <w:rPr>
          <w:rFonts w:ascii="Times New Roman" w:hAnsi="Times New Roman"/>
          <w:b/>
          <w:bCs/>
          <w:sz w:val="24"/>
          <w:szCs w:val="24"/>
          <w:lang w:eastAsia="ru-RU"/>
        </w:rPr>
        <w:t>ское сельское поселение Омутнинского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осуществления муниципального жилищного контроля на территории мун</w:t>
      </w:r>
      <w:r w:rsidR="005D10A8">
        <w:rPr>
          <w:rFonts w:ascii="Times New Roman" w:hAnsi="Times New Roman"/>
          <w:sz w:val="24"/>
          <w:szCs w:val="24"/>
          <w:lang w:eastAsia="ru-RU"/>
        </w:rPr>
        <w:t>иципального образования Шахров</w:t>
      </w:r>
      <w:r w:rsidRPr="005C2FD7">
        <w:rPr>
          <w:rFonts w:ascii="Times New Roman" w:hAnsi="Times New Roman"/>
          <w:sz w:val="24"/>
          <w:szCs w:val="24"/>
          <w:lang w:eastAsia="ru-RU"/>
        </w:rPr>
        <w:t>ское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w:t>
      </w:r>
      <w:r w:rsidR="005D10A8">
        <w:rPr>
          <w:rFonts w:ascii="Times New Roman" w:hAnsi="Times New Roman"/>
          <w:sz w:val="24"/>
          <w:szCs w:val="24"/>
        </w:rPr>
        <w:t>иципального образования Шахров</w:t>
      </w:r>
      <w:r w:rsidRPr="005C2FD7">
        <w:rPr>
          <w:rFonts w:ascii="Times New Roman" w:hAnsi="Times New Roman"/>
          <w:sz w:val="24"/>
          <w:szCs w:val="24"/>
        </w:rPr>
        <w:t>ское сельское поселение Омутнинского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w:t>
      </w:r>
      <w:r w:rsidR="005D10A8">
        <w:rPr>
          <w:rFonts w:ascii="Times New Roman" w:hAnsi="Times New Roman"/>
          <w:sz w:val="24"/>
          <w:szCs w:val="24"/>
          <w:lang w:eastAsia="ru-RU"/>
        </w:rPr>
        <w:t>иципального образования Шахров</w:t>
      </w:r>
      <w:r w:rsidRPr="005C2FD7">
        <w:rPr>
          <w:rFonts w:ascii="Times New Roman" w:hAnsi="Times New Roman"/>
          <w:sz w:val="24"/>
          <w:szCs w:val="24"/>
          <w:lang w:eastAsia="ru-RU"/>
        </w:rPr>
        <w:t xml:space="preserve">ское сельское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w:t>
      </w:r>
      <w:r w:rsidR="005D10A8">
        <w:rPr>
          <w:rFonts w:ascii="Times New Roman" w:hAnsi="Times New Roman"/>
          <w:sz w:val="24"/>
          <w:szCs w:val="24"/>
          <w:lang w:eastAsia="ru-RU"/>
        </w:rPr>
        <w:t>иципального образования Шахров</w:t>
      </w:r>
      <w:r w:rsidRPr="005C2FD7">
        <w:rPr>
          <w:rFonts w:ascii="Times New Roman" w:hAnsi="Times New Roman"/>
          <w:sz w:val="24"/>
          <w:szCs w:val="24"/>
          <w:lang w:eastAsia="ru-RU"/>
        </w:rPr>
        <w:t>ское сельское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5C2FD7">
          <w:rPr>
            <w:rStyle w:val="a3"/>
            <w:color w:val="000000"/>
            <w:sz w:val="24"/>
            <w:szCs w:val="24"/>
            <w:u w:val="none"/>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4"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5"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9"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20"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4"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 xml:space="preserve">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5C2FD7">
        <w:rPr>
          <w:rFonts w:ascii="Times New Roman" w:hAnsi="Times New Roman"/>
          <w:sz w:val="24"/>
          <w:szCs w:val="24"/>
          <w:lang w:eastAsia="ru-RU"/>
        </w:rPr>
        <w:lastRenderedPageBreak/>
        <w:t>муниципальной функции осуществляется главой администрации мун</w:t>
      </w:r>
      <w:r w:rsidR="005D10A8">
        <w:rPr>
          <w:rFonts w:ascii="Times New Roman" w:hAnsi="Times New Roman"/>
          <w:sz w:val="24"/>
          <w:szCs w:val="24"/>
          <w:lang w:eastAsia="ru-RU"/>
        </w:rPr>
        <w:t>иципального образования Шахров</w:t>
      </w:r>
      <w:bookmarkStart w:id="0" w:name="_GoBack"/>
      <w:bookmarkEnd w:id="0"/>
      <w:r w:rsidRPr="005C2FD7">
        <w:rPr>
          <w:rFonts w:ascii="Times New Roman" w:hAnsi="Times New Roman"/>
          <w:sz w:val="24"/>
          <w:szCs w:val="24"/>
          <w:lang w:eastAsia="ru-RU"/>
        </w:rPr>
        <w:t>ское сельское поселение Омутнинского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9"/>
      <w:footerReference w:type="default" r:id="rId30"/>
      <w:pgSz w:w="11906" w:h="16838"/>
      <w:pgMar w:top="1247"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11" w:rsidRDefault="00A45011">
      <w:r>
        <w:separator/>
      </w:r>
    </w:p>
  </w:endnote>
  <w:endnote w:type="continuationSeparator" w:id="0">
    <w:p w:rsidR="00A45011" w:rsidRDefault="00A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D10A8">
      <w:rPr>
        <w:rStyle w:val="ac"/>
        <w:noProof/>
      </w:rPr>
      <w:t>19</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11" w:rsidRDefault="00A45011">
      <w:r>
        <w:separator/>
      </w:r>
    </w:p>
  </w:footnote>
  <w:footnote w:type="continuationSeparator" w:id="0">
    <w:p w:rsidR="00A45011" w:rsidRDefault="00A45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10A8"/>
    <w:rsid w:val="005D523F"/>
    <w:rsid w:val="006053BD"/>
    <w:rsid w:val="0061373F"/>
    <w:rsid w:val="0061513A"/>
    <w:rsid w:val="00640C51"/>
    <w:rsid w:val="0068654A"/>
    <w:rsid w:val="00691B6E"/>
    <w:rsid w:val="006972C9"/>
    <w:rsid w:val="006C5489"/>
    <w:rsid w:val="00703835"/>
    <w:rsid w:val="00714DF5"/>
    <w:rsid w:val="00743874"/>
    <w:rsid w:val="00744C12"/>
    <w:rsid w:val="0075272C"/>
    <w:rsid w:val="00776C4C"/>
    <w:rsid w:val="0077798C"/>
    <w:rsid w:val="007779D3"/>
    <w:rsid w:val="007907E2"/>
    <w:rsid w:val="00856213"/>
    <w:rsid w:val="00861144"/>
    <w:rsid w:val="00864111"/>
    <w:rsid w:val="008722AF"/>
    <w:rsid w:val="008D4EEC"/>
    <w:rsid w:val="008F0534"/>
    <w:rsid w:val="008F1C7D"/>
    <w:rsid w:val="00923D9D"/>
    <w:rsid w:val="00933153"/>
    <w:rsid w:val="00941557"/>
    <w:rsid w:val="00960E63"/>
    <w:rsid w:val="00981FB8"/>
    <w:rsid w:val="00995043"/>
    <w:rsid w:val="009A39F4"/>
    <w:rsid w:val="009E20C4"/>
    <w:rsid w:val="009E4977"/>
    <w:rsid w:val="00A30601"/>
    <w:rsid w:val="00A377DB"/>
    <w:rsid w:val="00A43055"/>
    <w:rsid w:val="00A45011"/>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11611</Words>
  <Characters>66184</Characters>
  <Application>Microsoft Office Word</Application>
  <DocSecurity>0</DocSecurity>
  <Lines>551</Lines>
  <Paragraphs>155</Paragraphs>
  <ScaleCrop>false</ScaleCrop>
  <Company>SPecialiST RePack</Company>
  <LinksUpToDate>false</LinksUpToDate>
  <CharactersWithSpaces>77640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69</cp:revision>
  <cp:lastPrinted>2019-09-25T07:18:00Z</cp:lastPrinted>
  <dcterms:created xsi:type="dcterms:W3CDTF">2018-07-24T05:05:00Z</dcterms:created>
  <dcterms:modified xsi:type="dcterms:W3CDTF">2020-04-30T10:00:00Z</dcterms:modified>
</cp:coreProperties>
</file>