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7" w:rsidRPr="00790855" w:rsidRDefault="00790855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41C24" w:rsidRPr="006F7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84E" w:rsidRPr="00673637">
        <w:rPr>
          <w:rFonts w:ascii="Times New Roman" w:hAnsi="Times New Roman" w:cs="Times New Roman"/>
          <w:sz w:val="28"/>
          <w:szCs w:val="28"/>
        </w:rPr>
        <w:t>УТВЕРЖДЕН</w:t>
      </w:r>
    </w:p>
    <w:p w:rsidR="000656D0" w:rsidRPr="00790855" w:rsidRDefault="000656D0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84E" w:rsidRPr="00673637" w:rsidRDefault="00673637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3637">
        <w:rPr>
          <w:rFonts w:ascii="Times New Roman" w:hAnsi="Times New Roman" w:cs="Times New Roman"/>
          <w:sz w:val="28"/>
          <w:szCs w:val="28"/>
        </w:rPr>
        <w:t>п</w:t>
      </w:r>
      <w:r w:rsidR="00D4684E" w:rsidRPr="00673637">
        <w:rPr>
          <w:rFonts w:ascii="Times New Roman" w:hAnsi="Times New Roman" w:cs="Times New Roman"/>
          <w:sz w:val="28"/>
          <w:szCs w:val="28"/>
        </w:rPr>
        <w:t>риказом</w:t>
      </w:r>
      <w:r w:rsidR="00546DA9"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2923E1" w:rsidRDefault="00673637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0FD9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="00AD6F59" w:rsidRPr="00060FD9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6F59">
        <w:rPr>
          <w:rFonts w:ascii="Times New Roman" w:hAnsi="Times New Roman" w:cs="Times New Roman"/>
          <w:sz w:val="28"/>
          <w:szCs w:val="28"/>
        </w:rPr>
        <w:t>Ом</w:t>
      </w:r>
      <w:r w:rsidRPr="00673637">
        <w:rPr>
          <w:rFonts w:ascii="Times New Roman" w:hAnsi="Times New Roman" w:cs="Times New Roman"/>
          <w:sz w:val="28"/>
          <w:szCs w:val="28"/>
        </w:rPr>
        <w:t>утнинского района</w:t>
      </w:r>
    </w:p>
    <w:p w:rsidR="00C34044" w:rsidRPr="00D81444" w:rsidRDefault="002923E1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73637" w:rsidRPr="00673637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167" w:rsidRPr="00360AD8">
        <w:rPr>
          <w:rFonts w:ascii="Times New Roman" w:hAnsi="Times New Roman" w:cs="Times New Roman"/>
          <w:sz w:val="28"/>
          <w:szCs w:val="28"/>
        </w:rPr>
        <w:t>о</w:t>
      </w:r>
      <w:r w:rsidR="00673637" w:rsidRPr="00360AD8">
        <w:rPr>
          <w:rFonts w:ascii="Times New Roman" w:hAnsi="Times New Roman" w:cs="Times New Roman"/>
          <w:sz w:val="28"/>
          <w:szCs w:val="28"/>
        </w:rPr>
        <w:t>т</w:t>
      </w:r>
      <w:r w:rsidR="00143167" w:rsidRPr="00360AD8">
        <w:rPr>
          <w:rFonts w:ascii="Times New Roman" w:hAnsi="Times New Roman" w:cs="Times New Roman"/>
          <w:sz w:val="28"/>
          <w:szCs w:val="28"/>
        </w:rPr>
        <w:t xml:space="preserve"> </w:t>
      </w:r>
      <w:r w:rsidR="00FA7EEC">
        <w:rPr>
          <w:rFonts w:ascii="Times New Roman" w:hAnsi="Times New Roman" w:cs="Times New Roman"/>
          <w:sz w:val="28"/>
          <w:szCs w:val="28"/>
        </w:rPr>
        <w:t>19</w:t>
      </w:r>
      <w:r w:rsidR="009A4B8C">
        <w:rPr>
          <w:rFonts w:ascii="Times New Roman" w:hAnsi="Times New Roman" w:cs="Times New Roman"/>
          <w:sz w:val="28"/>
          <w:szCs w:val="28"/>
        </w:rPr>
        <w:t>.</w:t>
      </w:r>
      <w:r w:rsidR="00A42596">
        <w:rPr>
          <w:rFonts w:ascii="Times New Roman" w:hAnsi="Times New Roman" w:cs="Times New Roman"/>
          <w:sz w:val="28"/>
          <w:szCs w:val="28"/>
        </w:rPr>
        <w:t>0</w:t>
      </w:r>
      <w:r w:rsidR="00FA7EEC">
        <w:rPr>
          <w:rFonts w:ascii="Times New Roman" w:hAnsi="Times New Roman" w:cs="Times New Roman"/>
          <w:sz w:val="28"/>
          <w:szCs w:val="28"/>
        </w:rPr>
        <w:t>8</w:t>
      </w:r>
      <w:r w:rsidR="009A4B8C">
        <w:rPr>
          <w:rFonts w:ascii="Times New Roman" w:hAnsi="Times New Roman" w:cs="Times New Roman"/>
          <w:sz w:val="28"/>
          <w:szCs w:val="28"/>
        </w:rPr>
        <w:t>.202</w:t>
      </w:r>
      <w:r w:rsidR="003013BE">
        <w:rPr>
          <w:rFonts w:ascii="Times New Roman" w:hAnsi="Times New Roman" w:cs="Times New Roman"/>
          <w:sz w:val="28"/>
          <w:szCs w:val="28"/>
        </w:rPr>
        <w:t>2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360AD8">
        <w:rPr>
          <w:rFonts w:ascii="Times New Roman" w:hAnsi="Times New Roman" w:cs="Times New Roman"/>
          <w:sz w:val="28"/>
          <w:szCs w:val="28"/>
        </w:rPr>
        <w:t>№</w:t>
      </w:r>
      <w:r w:rsidR="00DD6B93">
        <w:rPr>
          <w:rFonts w:ascii="Times New Roman" w:hAnsi="Times New Roman" w:cs="Times New Roman"/>
          <w:sz w:val="28"/>
          <w:szCs w:val="28"/>
        </w:rPr>
        <w:t xml:space="preserve"> </w:t>
      </w:r>
      <w:r w:rsidR="00FA7EEC">
        <w:rPr>
          <w:rFonts w:ascii="Times New Roman" w:hAnsi="Times New Roman" w:cs="Times New Roman"/>
          <w:sz w:val="28"/>
          <w:szCs w:val="28"/>
        </w:rPr>
        <w:t>87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58" w:rsidRDefault="00570058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9"/>
      <w:bookmarkEnd w:id="0"/>
    </w:p>
    <w:p w:rsidR="0058164C" w:rsidRDefault="0058164C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5F02">
        <w:rPr>
          <w:rFonts w:ascii="Times New Roman" w:hAnsi="Times New Roman" w:cs="Times New Roman"/>
          <w:sz w:val="28"/>
          <w:szCs w:val="28"/>
        </w:rPr>
        <w:t>План</w:t>
      </w:r>
    </w:p>
    <w:p w:rsidR="0058164C" w:rsidRPr="00D85F02" w:rsidRDefault="00143167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24F9E">
        <w:rPr>
          <w:rFonts w:ascii="Times New Roman" w:hAnsi="Times New Roman" w:cs="Times New Roman"/>
          <w:sz w:val="28"/>
          <w:szCs w:val="28"/>
        </w:rPr>
        <w:t>2</w:t>
      </w:r>
      <w:r w:rsidR="00F94C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58164C" w:rsidRPr="00D85F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816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64C" w:rsidRPr="00D85F02">
        <w:rPr>
          <w:rFonts w:ascii="Times New Roman" w:hAnsi="Times New Roman" w:cs="Times New Roman"/>
          <w:sz w:val="28"/>
          <w:szCs w:val="28"/>
        </w:rPr>
        <w:t>программы</w:t>
      </w:r>
    </w:p>
    <w:p w:rsidR="000B2511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регулирование межбюджетных отношений </w:t>
      </w:r>
    </w:p>
    <w:p w:rsidR="0058164C" w:rsidRPr="007117DF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Кировской области» на </w:t>
      </w:r>
      <w:r w:rsidR="00F94CCF">
        <w:rPr>
          <w:rFonts w:ascii="Times New Roman" w:hAnsi="Times New Roman" w:cs="Times New Roman"/>
          <w:sz w:val="28"/>
          <w:szCs w:val="28"/>
        </w:rPr>
        <w:t>2021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 w:rsidR="00BD58B7">
        <w:rPr>
          <w:rFonts w:ascii="Times New Roman" w:hAnsi="Times New Roman" w:cs="Times New Roman"/>
          <w:sz w:val="28"/>
          <w:szCs w:val="28"/>
        </w:rPr>
        <w:t>–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D58B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CF4271" w:rsidRPr="00147D45" w:rsidRDefault="00CF4271" w:rsidP="005222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8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1986"/>
        <w:gridCol w:w="2022"/>
        <w:gridCol w:w="1485"/>
        <w:gridCol w:w="1444"/>
        <w:gridCol w:w="2048"/>
        <w:gridCol w:w="1962"/>
        <w:gridCol w:w="3271"/>
      </w:tblGrid>
      <w:tr w:rsidR="00C34801" w:rsidRPr="007D2762" w:rsidTr="00F94CCF">
        <w:trPr>
          <w:trHeight w:val="141"/>
        </w:trPr>
        <w:tc>
          <w:tcPr>
            <w:tcW w:w="608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</w:t>
            </w:r>
            <w:r w:rsidR="00BD5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отдельного мероприятия,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C34801" w:rsidRPr="007D2762" w:rsidRDefault="002E7884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 (Ф.И.О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2E7884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на 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</w:t>
            </w:r>
          </w:p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34801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444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2048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41"/>
        </w:trPr>
        <w:tc>
          <w:tcPr>
            <w:tcW w:w="608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8A51A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ипальная программа «Управление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</w:t>
            </w:r>
            <w:r w:rsidR="00147D4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финансами и регулирование межбюджетных отношений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Кировской области»</w:t>
            </w:r>
          </w:p>
          <w:p w:rsidR="00C97AB1" w:rsidRPr="007D2762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844E4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4645B9" w:rsidRPr="00154B8A" w:rsidRDefault="001E3B7F" w:rsidP="001E3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  <w:r w:rsidR="00F94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165</w:t>
            </w:r>
            <w:r w:rsidR="00F94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007C01" w:rsidP="00BD4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F94CCF" w:rsidP="007013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7 769,000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597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F94CCF" w:rsidP="001E3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E3B7F">
              <w:rPr>
                <w:rFonts w:ascii="Times New Roman" w:hAnsi="Times New Roman"/>
                <w:sz w:val="24"/>
                <w:szCs w:val="24"/>
                <w:lang w:eastAsia="ru-RU"/>
              </w:rPr>
              <w:t>2 396,631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3841"/>
        </w:trPr>
        <w:tc>
          <w:tcPr>
            <w:tcW w:w="608" w:type="dxa"/>
            <w:vMerge w:val="restart"/>
            <w:shd w:val="clear" w:color="auto" w:fill="auto"/>
          </w:tcPr>
          <w:p w:rsidR="00C97AB1" w:rsidRPr="007D2762" w:rsidRDefault="004628E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бюджетного процесса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F4636C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бюджет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636C" w:rsidRPr="007D2762" w:rsidRDefault="007757F4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Сизова А.Л.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анализа и прогнозирования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доходов;</w:t>
            </w:r>
          </w:p>
          <w:p w:rsidR="00F4636C" w:rsidRPr="007D2762" w:rsidRDefault="00FA7EE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5D5999">
              <w:rPr>
                <w:rFonts w:ascii="Times New Roman" w:hAnsi="Times New Roman"/>
                <w:sz w:val="24"/>
                <w:szCs w:val="24"/>
                <w:lang w:eastAsia="ru-RU"/>
              </w:rPr>
              <w:t>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бухгалтер;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97AB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сектор</w:t>
            </w:r>
            <w:r w:rsidR="00032AA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33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предварительного контроля</w:t>
            </w:r>
            <w:r w:rsidR="003803B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М.Г.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0F39C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юрист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21453" w:rsidRPr="007D2762" w:rsidRDefault="009653A1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Бузмаков М.В.</w:t>
            </w:r>
          </w:p>
          <w:p w:rsidR="00321453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онсультант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Катаева Е.А. 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сектора муниципального финансового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контроля </w:t>
            </w:r>
          </w:p>
          <w:p w:rsidR="00255602" w:rsidRDefault="006C669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сектора муниципального финансового контроля </w:t>
            </w:r>
          </w:p>
          <w:p w:rsidR="00255602" w:rsidRPr="007D276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7010" w:rsidRPr="007D2762" w:rsidRDefault="00767010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:rsidR="00C97AB1" w:rsidRPr="005D5999" w:rsidRDefault="00C97AB1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C97AB1" w:rsidRPr="005D5999" w:rsidRDefault="00C97AB1" w:rsidP="00D46B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0A7D03" w:rsidRPr="007D2762" w:rsidRDefault="00490C47" w:rsidP="00490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10 149,031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E822D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составления проекта бюджета района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исполнения бюджета, составления бюджетной отчетности в рамках действующего бюджетного законодательства.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составление, утверждение и ведение сводной бюджетной росписи бюджета района,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лимитов бюджетных обязательств. Уточнение основных параметров бюджета района путем внесения изменений в решение о бюджете.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составление, утверждение и ведение кассового плана. Обеспечение кассового обслуживания исполнения бюджета</w:t>
            </w:r>
            <w:r w:rsidR="005773E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</w:t>
            </w:r>
            <w:proofErr w:type="gramStart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санкционированием оплаты денежных обязательств  получателей бюджетных средств.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норматива формирования расходов на содержание органов местного самоуправления.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обращению взыскания на средства бюджета района.</w:t>
            </w:r>
          </w:p>
          <w:p w:rsidR="008D724A" w:rsidRPr="007D2762" w:rsidRDefault="005773EE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в бюджетном процессе. </w:t>
            </w:r>
          </w:p>
          <w:p w:rsidR="00154B8A" w:rsidRPr="00154B8A" w:rsidRDefault="005773EE" w:rsidP="00075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финансового контроля за правомерным, целевым и эффективным использованием бюджетных средств, соблюдением при этом требований бюджетного законодательства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в сфере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закупок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обеспечения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нужд и 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 обязательств, установленных заключенными муниципальными контрактами (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договорам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контроля, предусмотренного ч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астью 5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Федерального закона «О контрактной системе 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сфере закупок товаров, работ, услуг для обеспечения государственных и муниципальных нужд»</w:t>
            </w:r>
            <w:r w:rsidR="00075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97AB1" w:rsidRPr="007D2762" w:rsidTr="00F94CCF">
        <w:trPr>
          <w:trHeight w:val="407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A42596" w:rsidP="00C205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2126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490C47" w:rsidP="00490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10 149,031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239"/>
        </w:trPr>
        <w:tc>
          <w:tcPr>
            <w:tcW w:w="608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4628E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B54E5" w:rsidRPr="007D2762" w:rsidRDefault="00DB54E5" w:rsidP="00EE199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с начислениями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DB54E5" w:rsidRPr="007D2762" w:rsidRDefault="00FA7EE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5D5999">
              <w:rPr>
                <w:rFonts w:ascii="Times New Roman" w:hAnsi="Times New Roman"/>
                <w:sz w:val="24"/>
                <w:szCs w:val="24"/>
                <w:lang w:eastAsia="ru-RU"/>
              </w:rPr>
              <w:t>.А.</w:t>
            </w:r>
          </w:p>
          <w:p w:rsidR="00DB54E5" w:rsidRPr="007D2762" w:rsidRDefault="00DB54E5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DB54E5" w:rsidRPr="005D5999" w:rsidRDefault="00DB54E5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B54E5" w:rsidRPr="005D5999" w:rsidRDefault="00DB54E5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2E10B9" w:rsidP="002E1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9 233,500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Омутнинского района</w:t>
            </w: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4A5" w:rsidRPr="007D2762" w:rsidRDefault="008B44A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210"/>
        </w:trPr>
        <w:tc>
          <w:tcPr>
            <w:tcW w:w="608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286"/>
        </w:trPr>
        <w:tc>
          <w:tcPr>
            <w:tcW w:w="608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A4259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158"/>
        </w:trPr>
        <w:tc>
          <w:tcPr>
            <w:tcW w:w="608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7B7855" w:rsidRPr="007D2762" w:rsidRDefault="002E10B9" w:rsidP="002E1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9 233,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809" w:rsidRPr="007D2762" w:rsidTr="00F94CCF">
        <w:trPr>
          <w:trHeight w:val="158"/>
        </w:trPr>
        <w:tc>
          <w:tcPr>
            <w:tcW w:w="608" w:type="dxa"/>
            <w:vMerge w:val="restart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shd w:val="clear" w:color="auto" w:fill="auto"/>
          </w:tcPr>
          <w:p w:rsidR="00B54809" w:rsidRDefault="00B54809" w:rsidP="002E1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809" w:rsidRPr="007D2762" w:rsidTr="00F94CCF">
        <w:trPr>
          <w:trHeight w:val="253"/>
        </w:trPr>
        <w:tc>
          <w:tcPr>
            <w:tcW w:w="608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B54809" w:rsidRPr="007D2762" w:rsidRDefault="00B54809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коммунальных услуг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B54809" w:rsidRPr="007D2762" w:rsidRDefault="00B5480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B54809" w:rsidRPr="00B54809" w:rsidRDefault="00B54809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B54809" w:rsidRPr="00B54809" w:rsidRDefault="00B54809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B54809" w:rsidRPr="007D2762" w:rsidRDefault="00B54809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57,100</w:t>
            </w:r>
          </w:p>
        </w:tc>
        <w:tc>
          <w:tcPr>
            <w:tcW w:w="3271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809" w:rsidRPr="007D2762" w:rsidTr="00F94CCF">
        <w:trPr>
          <w:trHeight w:val="352"/>
        </w:trPr>
        <w:tc>
          <w:tcPr>
            <w:tcW w:w="608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809" w:rsidRPr="007D2762" w:rsidTr="00F94CCF">
        <w:trPr>
          <w:trHeight w:val="352"/>
        </w:trPr>
        <w:tc>
          <w:tcPr>
            <w:tcW w:w="608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B54809" w:rsidRPr="007D2762" w:rsidRDefault="00B54809" w:rsidP="00361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1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809" w:rsidRPr="007D2762" w:rsidTr="00F94CCF">
        <w:trPr>
          <w:trHeight w:val="737"/>
        </w:trPr>
        <w:tc>
          <w:tcPr>
            <w:tcW w:w="608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B54809" w:rsidRPr="007D2762" w:rsidRDefault="00B54809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57,100</w:t>
            </w:r>
          </w:p>
        </w:tc>
        <w:tc>
          <w:tcPr>
            <w:tcW w:w="3271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132"/>
        </w:trPr>
        <w:tc>
          <w:tcPr>
            <w:tcW w:w="608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расходы на содержание 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DB54E5" w:rsidRPr="007D2762" w:rsidRDefault="00FA7EEC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5D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DB54E5" w:rsidRPr="00FA7EEC" w:rsidRDefault="00BF485E" w:rsidP="00CB39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B54E5" w:rsidRPr="00FA7EEC" w:rsidRDefault="00DB54E5" w:rsidP="00B26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2E10B9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858,431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57B" w:rsidRPr="007D2762" w:rsidTr="00F94CCF">
        <w:trPr>
          <w:trHeight w:val="816"/>
        </w:trPr>
        <w:tc>
          <w:tcPr>
            <w:tcW w:w="608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57B" w:rsidRDefault="00AD257B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AD257B" w:rsidRPr="007D2762" w:rsidRDefault="00AD257B" w:rsidP="005D5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AD257B" w:rsidRPr="005825B0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132"/>
        </w:trPr>
        <w:tc>
          <w:tcPr>
            <w:tcW w:w="608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7B4661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72B" w:rsidRPr="007D2762" w:rsidTr="00F94CCF">
        <w:trPr>
          <w:trHeight w:val="581"/>
        </w:trPr>
        <w:tc>
          <w:tcPr>
            <w:tcW w:w="608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61472B" w:rsidRPr="007D2762" w:rsidRDefault="0061472B" w:rsidP="006147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61472B" w:rsidRPr="007D2762" w:rsidRDefault="002E10B9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858,431</w:t>
            </w:r>
          </w:p>
        </w:tc>
        <w:tc>
          <w:tcPr>
            <w:tcW w:w="3271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F94CCF">
        <w:trPr>
          <w:trHeight w:val="816"/>
        </w:trPr>
        <w:tc>
          <w:tcPr>
            <w:tcW w:w="608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8B44A5" w:rsidRDefault="008B44A5" w:rsidP="008B44A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8B44A5" w:rsidRPr="005825B0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F94CCF">
        <w:trPr>
          <w:trHeight w:val="132"/>
        </w:trPr>
        <w:tc>
          <w:tcPr>
            <w:tcW w:w="608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F94CCF">
        <w:trPr>
          <w:trHeight w:val="581"/>
        </w:trPr>
        <w:tc>
          <w:tcPr>
            <w:tcW w:w="608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8B44A5" w:rsidRPr="007D2762" w:rsidRDefault="00DD6B93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7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141"/>
        </w:trPr>
        <w:tc>
          <w:tcPr>
            <w:tcW w:w="608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Омутнинского района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C02788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Кинзябузова К.А.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бюджетной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политики;</w:t>
            </w:r>
          </w:p>
          <w:p w:rsidR="00C02788" w:rsidRPr="007D2762" w:rsidRDefault="00FA7EE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C0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C02788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предварительного контроля 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F94CCF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9 700,000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установленного законодательством ограничения объема муниципального долга и дефицита бюджета района. </w:t>
            </w:r>
          </w:p>
          <w:p w:rsidR="00154B8A" w:rsidRPr="00154B8A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Четкое соблюдение сроков исполнения долговых обязательств позволит предотвратить расходование средств бюджета на уплату пени, штрафов за просрочку платежей и сохранить репутацию района как добросовестного и эффективного заемщика. Применение гибких механизмов управления муниципальным долгом будет способствовать экономии ассигнований, предусмотренных на обслуживание муниципального долга</w:t>
            </w:r>
          </w:p>
        </w:tc>
      </w:tr>
      <w:tr w:rsidR="00C02788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3496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F94CCF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9 700,000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264"/>
        </w:trPr>
        <w:tc>
          <w:tcPr>
            <w:tcW w:w="608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Омутнинского района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C02788" w:rsidRPr="007D2762" w:rsidRDefault="00701376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бюджетной политики;</w:t>
            </w:r>
          </w:p>
          <w:p w:rsidR="00C02788" w:rsidRPr="007D2762" w:rsidRDefault="00FA7EEC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C0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 w:rsidR="00C02788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бухгалтерского учета и отчетности, главный бухгалтер;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предварительного контроля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8C25B1" w:rsidRPr="007D2762" w:rsidRDefault="00566F5C" w:rsidP="00566F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20 316,600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обеспечит возможность решения органами местного самоуправления вопросов местного значения, определенных статьей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02788" w:rsidRPr="007D2762" w:rsidTr="00F94CCF">
        <w:trPr>
          <w:trHeight w:val="557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A42596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542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A0617C" w:rsidRPr="007D2762" w:rsidRDefault="00F94CCF" w:rsidP="002504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7 769,000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542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570058" w:rsidP="00566F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6F5C">
              <w:rPr>
                <w:rFonts w:ascii="Times New Roman" w:hAnsi="Times New Roman"/>
                <w:sz w:val="24"/>
                <w:szCs w:val="24"/>
                <w:lang w:eastAsia="ru-RU"/>
              </w:rPr>
              <w:t>2 547,600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1444" w:rsidRPr="007A42CD" w:rsidRDefault="00D81444" w:rsidP="006130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D81444" w:rsidRPr="007A42CD" w:rsidSect="007439E0">
      <w:headerReference w:type="even" r:id="rId7"/>
      <w:headerReference w:type="default" r:id="rId8"/>
      <w:pgSz w:w="16838" w:h="11906" w:orient="landscape" w:code="9"/>
      <w:pgMar w:top="624" w:right="102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DB" w:rsidRDefault="001D6CDB" w:rsidP="00246E22">
      <w:pPr>
        <w:spacing w:after="0" w:line="240" w:lineRule="auto"/>
      </w:pPr>
      <w:r>
        <w:separator/>
      </w:r>
    </w:p>
  </w:endnote>
  <w:endnote w:type="continuationSeparator" w:id="1">
    <w:p w:rsidR="001D6CDB" w:rsidRDefault="001D6CDB" w:rsidP="0024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DB" w:rsidRDefault="001D6CDB" w:rsidP="00246E22">
      <w:pPr>
        <w:spacing w:after="0" w:line="240" w:lineRule="auto"/>
      </w:pPr>
      <w:r>
        <w:separator/>
      </w:r>
    </w:p>
  </w:footnote>
  <w:footnote w:type="continuationSeparator" w:id="1">
    <w:p w:rsidR="001D6CDB" w:rsidRDefault="001D6CDB" w:rsidP="0024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DB" w:rsidRDefault="001D6CDB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6CDB" w:rsidRDefault="001D6C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DB" w:rsidRDefault="001D6CDB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39E0">
      <w:rPr>
        <w:rStyle w:val="ab"/>
        <w:noProof/>
      </w:rPr>
      <w:t>6</w:t>
    </w:r>
    <w:r>
      <w:rPr>
        <w:rStyle w:val="ab"/>
      </w:rPr>
      <w:fldChar w:fldCharType="end"/>
    </w:r>
  </w:p>
  <w:p w:rsidR="001D6CDB" w:rsidRDefault="001D6C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64C"/>
    <w:rsid w:val="00007A46"/>
    <w:rsid w:val="00007C01"/>
    <w:rsid w:val="00010FF5"/>
    <w:rsid w:val="00011E36"/>
    <w:rsid w:val="00012381"/>
    <w:rsid w:val="00021B4B"/>
    <w:rsid w:val="0003044C"/>
    <w:rsid w:val="00032AA1"/>
    <w:rsid w:val="00037EC2"/>
    <w:rsid w:val="00043C21"/>
    <w:rsid w:val="00044A3C"/>
    <w:rsid w:val="00051FAA"/>
    <w:rsid w:val="000570A5"/>
    <w:rsid w:val="00060FD9"/>
    <w:rsid w:val="000616D9"/>
    <w:rsid w:val="0006291F"/>
    <w:rsid w:val="00064723"/>
    <w:rsid w:val="000656D0"/>
    <w:rsid w:val="00074CDF"/>
    <w:rsid w:val="000758AF"/>
    <w:rsid w:val="00075CC6"/>
    <w:rsid w:val="00085673"/>
    <w:rsid w:val="00087646"/>
    <w:rsid w:val="000937F8"/>
    <w:rsid w:val="0009493E"/>
    <w:rsid w:val="00096453"/>
    <w:rsid w:val="000A0266"/>
    <w:rsid w:val="000A1008"/>
    <w:rsid w:val="000A6AE3"/>
    <w:rsid w:val="000A7D03"/>
    <w:rsid w:val="000B2511"/>
    <w:rsid w:val="000B2840"/>
    <w:rsid w:val="000B2A79"/>
    <w:rsid w:val="000B7B65"/>
    <w:rsid w:val="000C2F59"/>
    <w:rsid w:val="000D21CD"/>
    <w:rsid w:val="000D7473"/>
    <w:rsid w:val="000E2827"/>
    <w:rsid w:val="000E3E97"/>
    <w:rsid w:val="000E3ECB"/>
    <w:rsid w:val="000E6263"/>
    <w:rsid w:val="000E639F"/>
    <w:rsid w:val="000E7F8D"/>
    <w:rsid w:val="000F39CE"/>
    <w:rsid w:val="000F428D"/>
    <w:rsid w:val="000F4414"/>
    <w:rsid w:val="00101B63"/>
    <w:rsid w:val="00104436"/>
    <w:rsid w:val="001102C2"/>
    <w:rsid w:val="001155C5"/>
    <w:rsid w:val="00121083"/>
    <w:rsid w:val="0012130D"/>
    <w:rsid w:val="00122A04"/>
    <w:rsid w:val="001330FF"/>
    <w:rsid w:val="00143167"/>
    <w:rsid w:val="00147D45"/>
    <w:rsid w:val="001516A5"/>
    <w:rsid w:val="00151B88"/>
    <w:rsid w:val="00154B8A"/>
    <w:rsid w:val="00155D33"/>
    <w:rsid w:val="001831D9"/>
    <w:rsid w:val="0018335E"/>
    <w:rsid w:val="00196E1A"/>
    <w:rsid w:val="001A400B"/>
    <w:rsid w:val="001B1BEE"/>
    <w:rsid w:val="001B6480"/>
    <w:rsid w:val="001C310D"/>
    <w:rsid w:val="001D6CDB"/>
    <w:rsid w:val="001D7A00"/>
    <w:rsid w:val="001D7CEC"/>
    <w:rsid w:val="001E3B7F"/>
    <w:rsid w:val="001E5F78"/>
    <w:rsid w:val="001F04BF"/>
    <w:rsid w:val="001F0D88"/>
    <w:rsid w:val="001F1814"/>
    <w:rsid w:val="001F3805"/>
    <w:rsid w:val="00207B91"/>
    <w:rsid w:val="002128F9"/>
    <w:rsid w:val="00216B56"/>
    <w:rsid w:val="00216C09"/>
    <w:rsid w:val="0022317E"/>
    <w:rsid w:val="0022603D"/>
    <w:rsid w:val="002264DA"/>
    <w:rsid w:val="00230EFB"/>
    <w:rsid w:val="00233C7B"/>
    <w:rsid w:val="00237EF7"/>
    <w:rsid w:val="002427F0"/>
    <w:rsid w:val="002431FD"/>
    <w:rsid w:val="00246E22"/>
    <w:rsid w:val="002504C7"/>
    <w:rsid w:val="00255602"/>
    <w:rsid w:val="00270747"/>
    <w:rsid w:val="002738F4"/>
    <w:rsid w:val="00281128"/>
    <w:rsid w:val="00282015"/>
    <w:rsid w:val="002923E1"/>
    <w:rsid w:val="00295C2D"/>
    <w:rsid w:val="002A0D9C"/>
    <w:rsid w:val="002B2077"/>
    <w:rsid w:val="002B2974"/>
    <w:rsid w:val="002C2C4B"/>
    <w:rsid w:val="002D017A"/>
    <w:rsid w:val="002D360B"/>
    <w:rsid w:val="002D63DC"/>
    <w:rsid w:val="002E10B9"/>
    <w:rsid w:val="002E4FAD"/>
    <w:rsid w:val="002E7884"/>
    <w:rsid w:val="002F4D6B"/>
    <w:rsid w:val="002F6512"/>
    <w:rsid w:val="002F66C4"/>
    <w:rsid w:val="003013BE"/>
    <w:rsid w:val="00311A1F"/>
    <w:rsid w:val="00314229"/>
    <w:rsid w:val="00316346"/>
    <w:rsid w:val="00321453"/>
    <w:rsid w:val="0032300E"/>
    <w:rsid w:val="003231E7"/>
    <w:rsid w:val="0033414B"/>
    <w:rsid w:val="00334BB3"/>
    <w:rsid w:val="003532AA"/>
    <w:rsid w:val="00360AD8"/>
    <w:rsid w:val="00361976"/>
    <w:rsid w:val="00364C49"/>
    <w:rsid w:val="003803BA"/>
    <w:rsid w:val="003830BE"/>
    <w:rsid w:val="00383FA6"/>
    <w:rsid w:val="003A5E86"/>
    <w:rsid w:val="003A74E7"/>
    <w:rsid w:val="003C32C9"/>
    <w:rsid w:val="003C4D62"/>
    <w:rsid w:val="003C622A"/>
    <w:rsid w:val="003C6766"/>
    <w:rsid w:val="003C7C03"/>
    <w:rsid w:val="003E3A2E"/>
    <w:rsid w:val="003E5E89"/>
    <w:rsid w:val="003E7335"/>
    <w:rsid w:val="003F0463"/>
    <w:rsid w:val="003F252E"/>
    <w:rsid w:val="003F3307"/>
    <w:rsid w:val="003F4502"/>
    <w:rsid w:val="003F7F69"/>
    <w:rsid w:val="00404208"/>
    <w:rsid w:val="00417C07"/>
    <w:rsid w:val="0042167F"/>
    <w:rsid w:val="004233CC"/>
    <w:rsid w:val="00427CBB"/>
    <w:rsid w:val="00434293"/>
    <w:rsid w:val="00441344"/>
    <w:rsid w:val="0044283E"/>
    <w:rsid w:val="00447572"/>
    <w:rsid w:val="00452870"/>
    <w:rsid w:val="00455182"/>
    <w:rsid w:val="0045696D"/>
    <w:rsid w:val="004628E2"/>
    <w:rsid w:val="004631AE"/>
    <w:rsid w:val="004645B9"/>
    <w:rsid w:val="00484178"/>
    <w:rsid w:val="004849BF"/>
    <w:rsid w:val="00484FE0"/>
    <w:rsid w:val="004877CF"/>
    <w:rsid w:val="00490C47"/>
    <w:rsid w:val="0049483D"/>
    <w:rsid w:val="004A19A5"/>
    <w:rsid w:val="004A24B1"/>
    <w:rsid w:val="004A6D91"/>
    <w:rsid w:val="004B174B"/>
    <w:rsid w:val="004B231D"/>
    <w:rsid w:val="004C2367"/>
    <w:rsid w:val="004C34AC"/>
    <w:rsid w:val="004C4A62"/>
    <w:rsid w:val="004E7AEF"/>
    <w:rsid w:val="0052227E"/>
    <w:rsid w:val="00525B64"/>
    <w:rsid w:val="00527450"/>
    <w:rsid w:val="00537004"/>
    <w:rsid w:val="00541C09"/>
    <w:rsid w:val="00546DA9"/>
    <w:rsid w:val="00553DFD"/>
    <w:rsid w:val="00554382"/>
    <w:rsid w:val="0055501C"/>
    <w:rsid w:val="00565F9D"/>
    <w:rsid w:val="00566F5C"/>
    <w:rsid w:val="00570058"/>
    <w:rsid w:val="00573479"/>
    <w:rsid w:val="005773EE"/>
    <w:rsid w:val="0058164C"/>
    <w:rsid w:val="00582346"/>
    <w:rsid w:val="005825B0"/>
    <w:rsid w:val="00582703"/>
    <w:rsid w:val="00584F90"/>
    <w:rsid w:val="005939AF"/>
    <w:rsid w:val="00593C20"/>
    <w:rsid w:val="005A4343"/>
    <w:rsid w:val="005A5D95"/>
    <w:rsid w:val="005C0D1D"/>
    <w:rsid w:val="005C51DB"/>
    <w:rsid w:val="005D33FF"/>
    <w:rsid w:val="005D5999"/>
    <w:rsid w:val="005D60C4"/>
    <w:rsid w:val="005E0DB5"/>
    <w:rsid w:val="005F6ADE"/>
    <w:rsid w:val="00605E70"/>
    <w:rsid w:val="00613073"/>
    <w:rsid w:val="00614132"/>
    <w:rsid w:val="0061472B"/>
    <w:rsid w:val="00617385"/>
    <w:rsid w:val="0062267E"/>
    <w:rsid w:val="0063338F"/>
    <w:rsid w:val="00634363"/>
    <w:rsid w:val="006440EA"/>
    <w:rsid w:val="00653E9F"/>
    <w:rsid w:val="0066362D"/>
    <w:rsid w:val="00664A49"/>
    <w:rsid w:val="00664DCD"/>
    <w:rsid w:val="00670FD4"/>
    <w:rsid w:val="006714C2"/>
    <w:rsid w:val="006720BB"/>
    <w:rsid w:val="00673637"/>
    <w:rsid w:val="00673E1F"/>
    <w:rsid w:val="00676A1F"/>
    <w:rsid w:val="00680544"/>
    <w:rsid w:val="006822F7"/>
    <w:rsid w:val="00682402"/>
    <w:rsid w:val="006829EF"/>
    <w:rsid w:val="00683CBC"/>
    <w:rsid w:val="0068696A"/>
    <w:rsid w:val="00687B05"/>
    <w:rsid w:val="0069335F"/>
    <w:rsid w:val="00693E89"/>
    <w:rsid w:val="00695ECC"/>
    <w:rsid w:val="006A6BB0"/>
    <w:rsid w:val="006B2ED1"/>
    <w:rsid w:val="006B564D"/>
    <w:rsid w:val="006B6180"/>
    <w:rsid w:val="006C669A"/>
    <w:rsid w:val="006D1E24"/>
    <w:rsid w:val="006E178B"/>
    <w:rsid w:val="006E4FAF"/>
    <w:rsid w:val="006E5EA6"/>
    <w:rsid w:val="006E657D"/>
    <w:rsid w:val="006F56B2"/>
    <w:rsid w:val="006F59E8"/>
    <w:rsid w:val="006F70C5"/>
    <w:rsid w:val="006F7DF8"/>
    <w:rsid w:val="00701376"/>
    <w:rsid w:val="00707743"/>
    <w:rsid w:val="00711763"/>
    <w:rsid w:val="007117DF"/>
    <w:rsid w:val="00712D8B"/>
    <w:rsid w:val="00713654"/>
    <w:rsid w:val="0071694D"/>
    <w:rsid w:val="00716A87"/>
    <w:rsid w:val="00722018"/>
    <w:rsid w:val="0072449A"/>
    <w:rsid w:val="007300C0"/>
    <w:rsid w:val="007409C3"/>
    <w:rsid w:val="00742F74"/>
    <w:rsid w:val="007439E0"/>
    <w:rsid w:val="00750E62"/>
    <w:rsid w:val="007548AF"/>
    <w:rsid w:val="00757798"/>
    <w:rsid w:val="00767010"/>
    <w:rsid w:val="00774C46"/>
    <w:rsid w:val="007757F4"/>
    <w:rsid w:val="00775ACD"/>
    <w:rsid w:val="00781E85"/>
    <w:rsid w:val="00787199"/>
    <w:rsid w:val="00790855"/>
    <w:rsid w:val="00794A90"/>
    <w:rsid w:val="007A22B4"/>
    <w:rsid w:val="007A42CD"/>
    <w:rsid w:val="007A68F5"/>
    <w:rsid w:val="007B3129"/>
    <w:rsid w:val="007B4661"/>
    <w:rsid w:val="007B576E"/>
    <w:rsid w:val="007B5AD0"/>
    <w:rsid w:val="007B7855"/>
    <w:rsid w:val="007D2762"/>
    <w:rsid w:val="007F365B"/>
    <w:rsid w:val="007F3FA1"/>
    <w:rsid w:val="007F4999"/>
    <w:rsid w:val="00800E9C"/>
    <w:rsid w:val="00802AE9"/>
    <w:rsid w:val="00802C87"/>
    <w:rsid w:val="0080441E"/>
    <w:rsid w:val="00811772"/>
    <w:rsid w:val="00815FD7"/>
    <w:rsid w:val="00821683"/>
    <w:rsid w:val="0082724D"/>
    <w:rsid w:val="00837715"/>
    <w:rsid w:val="008409A2"/>
    <w:rsid w:val="00842844"/>
    <w:rsid w:val="00843FC1"/>
    <w:rsid w:val="00844E41"/>
    <w:rsid w:val="008627F4"/>
    <w:rsid w:val="008720FB"/>
    <w:rsid w:val="008760D7"/>
    <w:rsid w:val="00884DC6"/>
    <w:rsid w:val="00893FCE"/>
    <w:rsid w:val="008A0DF3"/>
    <w:rsid w:val="008A51AF"/>
    <w:rsid w:val="008A681D"/>
    <w:rsid w:val="008B07B0"/>
    <w:rsid w:val="008B44A5"/>
    <w:rsid w:val="008C0ECA"/>
    <w:rsid w:val="008C25B1"/>
    <w:rsid w:val="008D724A"/>
    <w:rsid w:val="008E00F3"/>
    <w:rsid w:val="008E0DED"/>
    <w:rsid w:val="008E4DE1"/>
    <w:rsid w:val="008F1C39"/>
    <w:rsid w:val="008F2EB9"/>
    <w:rsid w:val="009019AB"/>
    <w:rsid w:val="009100E6"/>
    <w:rsid w:val="009172A7"/>
    <w:rsid w:val="009373BC"/>
    <w:rsid w:val="009378FA"/>
    <w:rsid w:val="009400D4"/>
    <w:rsid w:val="00943982"/>
    <w:rsid w:val="0094536B"/>
    <w:rsid w:val="00963086"/>
    <w:rsid w:val="009653A1"/>
    <w:rsid w:val="009673F7"/>
    <w:rsid w:val="00975076"/>
    <w:rsid w:val="00981D47"/>
    <w:rsid w:val="00982DAD"/>
    <w:rsid w:val="009A0EF3"/>
    <w:rsid w:val="009A4B8C"/>
    <w:rsid w:val="009A7B31"/>
    <w:rsid w:val="009B2E45"/>
    <w:rsid w:val="009C0EDB"/>
    <w:rsid w:val="009C367F"/>
    <w:rsid w:val="009D2A2D"/>
    <w:rsid w:val="009E19D8"/>
    <w:rsid w:val="009E3FB8"/>
    <w:rsid w:val="009E40E4"/>
    <w:rsid w:val="009F100D"/>
    <w:rsid w:val="009F44F2"/>
    <w:rsid w:val="009F4877"/>
    <w:rsid w:val="00A0617C"/>
    <w:rsid w:val="00A0764D"/>
    <w:rsid w:val="00A11C0B"/>
    <w:rsid w:val="00A13855"/>
    <w:rsid w:val="00A24F9E"/>
    <w:rsid w:val="00A26D4A"/>
    <w:rsid w:val="00A34577"/>
    <w:rsid w:val="00A35693"/>
    <w:rsid w:val="00A42596"/>
    <w:rsid w:val="00A46A96"/>
    <w:rsid w:val="00A46C23"/>
    <w:rsid w:val="00A47266"/>
    <w:rsid w:val="00A50D26"/>
    <w:rsid w:val="00A55C5E"/>
    <w:rsid w:val="00A573E6"/>
    <w:rsid w:val="00A73A53"/>
    <w:rsid w:val="00A8153C"/>
    <w:rsid w:val="00A857F7"/>
    <w:rsid w:val="00A875A8"/>
    <w:rsid w:val="00A93784"/>
    <w:rsid w:val="00A95724"/>
    <w:rsid w:val="00AA1C94"/>
    <w:rsid w:val="00AA437D"/>
    <w:rsid w:val="00AA7378"/>
    <w:rsid w:val="00AB2846"/>
    <w:rsid w:val="00AB755C"/>
    <w:rsid w:val="00AC4D21"/>
    <w:rsid w:val="00AD257B"/>
    <w:rsid w:val="00AD25C7"/>
    <w:rsid w:val="00AD6F59"/>
    <w:rsid w:val="00AD799C"/>
    <w:rsid w:val="00AD79DF"/>
    <w:rsid w:val="00AE3399"/>
    <w:rsid w:val="00AF1E57"/>
    <w:rsid w:val="00B034D0"/>
    <w:rsid w:val="00B03EA0"/>
    <w:rsid w:val="00B0433B"/>
    <w:rsid w:val="00B12B8F"/>
    <w:rsid w:val="00B13D90"/>
    <w:rsid w:val="00B160A9"/>
    <w:rsid w:val="00B1744B"/>
    <w:rsid w:val="00B205FD"/>
    <w:rsid w:val="00B26CF2"/>
    <w:rsid w:val="00B27C51"/>
    <w:rsid w:val="00B30DB4"/>
    <w:rsid w:val="00B31B6A"/>
    <w:rsid w:val="00B41C24"/>
    <w:rsid w:val="00B43D96"/>
    <w:rsid w:val="00B47F26"/>
    <w:rsid w:val="00B5116D"/>
    <w:rsid w:val="00B532E3"/>
    <w:rsid w:val="00B54809"/>
    <w:rsid w:val="00B7572B"/>
    <w:rsid w:val="00B779F7"/>
    <w:rsid w:val="00B87F74"/>
    <w:rsid w:val="00B9353F"/>
    <w:rsid w:val="00BA088B"/>
    <w:rsid w:val="00BA30B9"/>
    <w:rsid w:val="00BC1554"/>
    <w:rsid w:val="00BC3D43"/>
    <w:rsid w:val="00BD41BB"/>
    <w:rsid w:val="00BD58B7"/>
    <w:rsid w:val="00BE1520"/>
    <w:rsid w:val="00BE2A38"/>
    <w:rsid w:val="00BE400C"/>
    <w:rsid w:val="00BF485E"/>
    <w:rsid w:val="00BF74F3"/>
    <w:rsid w:val="00C02788"/>
    <w:rsid w:val="00C0304B"/>
    <w:rsid w:val="00C046F4"/>
    <w:rsid w:val="00C14658"/>
    <w:rsid w:val="00C20514"/>
    <w:rsid w:val="00C21160"/>
    <w:rsid w:val="00C22A44"/>
    <w:rsid w:val="00C24FC9"/>
    <w:rsid w:val="00C26449"/>
    <w:rsid w:val="00C34044"/>
    <w:rsid w:val="00C344F4"/>
    <w:rsid w:val="00C34801"/>
    <w:rsid w:val="00C34B04"/>
    <w:rsid w:val="00C426C4"/>
    <w:rsid w:val="00C44675"/>
    <w:rsid w:val="00C45DBC"/>
    <w:rsid w:val="00C475D4"/>
    <w:rsid w:val="00C55058"/>
    <w:rsid w:val="00C5733B"/>
    <w:rsid w:val="00C5756D"/>
    <w:rsid w:val="00C6424F"/>
    <w:rsid w:val="00C812E3"/>
    <w:rsid w:val="00C97AB1"/>
    <w:rsid w:val="00C97BBA"/>
    <w:rsid w:val="00CA35A1"/>
    <w:rsid w:val="00CB1023"/>
    <w:rsid w:val="00CB393A"/>
    <w:rsid w:val="00CB5CB6"/>
    <w:rsid w:val="00CB7F6D"/>
    <w:rsid w:val="00CC3D65"/>
    <w:rsid w:val="00CC6EA9"/>
    <w:rsid w:val="00CD1951"/>
    <w:rsid w:val="00CE1798"/>
    <w:rsid w:val="00CE1B3B"/>
    <w:rsid w:val="00CF2369"/>
    <w:rsid w:val="00CF35D8"/>
    <w:rsid w:val="00CF4271"/>
    <w:rsid w:val="00CF5B6D"/>
    <w:rsid w:val="00CF5BB9"/>
    <w:rsid w:val="00D038BD"/>
    <w:rsid w:val="00D1503B"/>
    <w:rsid w:val="00D16A33"/>
    <w:rsid w:val="00D4684E"/>
    <w:rsid w:val="00D46BDD"/>
    <w:rsid w:val="00D55879"/>
    <w:rsid w:val="00D577F4"/>
    <w:rsid w:val="00D60F89"/>
    <w:rsid w:val="00D65A9A"/>
    <w:rsid w:val="00D669C4"/>
    <w:rsid w:val="00D81444"/>
    <w:rsid w:val="00D84B8D"/>
    <w:rsid w:val="00D9516F"/>
    <w:rsid w:val="00DB22F9"/>
    <w:rsid w:val="00DB54E5"/>
    <w:rsid w:val="00DC4FC3"/>
    <w:rsid w:val="00DC5688"/>
    <w:rsid w:val="00DD5580"/>
    <w:rsid w:val="00DD6B93"/>
    <w:rsid w:val="00E05F5A"/>
    <w:rsid w:val="00E106D5"/>
    <w:rsid w:val="00E24AA6"/>
    <w:rsid w:val="00E33969"/>
    <w:rsid w:val="00E34B7D"/>
    <w:rsid w:val="00E4143F"/>
    <w:rsid w:val="00E416A4"/>
    <w:rsid w:val="00E466A5"/>
    <w:rsid w:val="00E46C11"/>
    <w:rsid w:val="00E50F6C"/>
    <w:rsid w:val="00E54E8E"/>
    <w:rsid w:val="00E72412"/>
    <w:rsid w:val="00E74F4E"/>
    <w:rsid w:val="00E77CD6"/>
    <w:rsid w:val="00E77CF6"/>
    <w:rsid w:val="00E81712"/>
    <w:rsid w:val="00E822D1"/>
    <w:rsid w:val="00E9084F"/>
    <w:rsid w:val="00EA1836"/>
    <w:rsid w:val="00EA7230"/>
    <w:rsid w:val="00EB771C"/>
    <w:rsid w:val="00EC02E0"/>
    <w:rsid w:val="00EC2A49"/>
    <w:rsid w:val="00EC2D8A"/>
    <w:rsid w:val="00EC537B"/>
    <w:rsid w:val="00EC67C6"/>
    <w:rsid w:val="00ED1A21"/>
    <w:rsid w:val="00ED3D34"/>
    <w:rsid w:val="00EE0B82"/>
    <w:rsid w:val="00EE199A"/>
    <w:rsid w:val="00F03E46"/>
    <w:rsid w:val="00F15D99"/>
    <w:rsid w:val="00F25BB1"/>
    <w:rsid w:val="00F31D87"/>
    <w:rsid w:val="00F4636C"/>
    <w:rsid w:val="00F56DC9"/>
    <w:rsid w:val="00F61221"/>
    <w:rsid w:val="00F622D7"/>
    <w:rsid w:val="00F62A89"/>
    <w:rsid w:val="00F638AC"/>
    <w:rsid w:val="00F70096"/>
    <w:rsid w:val="00F86341"/>
    <w:rsid w:val="00F94CCF"/>
    <w:rsid w:val="00FA5A28"/>
    <w:rsid w:val="00FA7EEC"/>
    <w:rsid w:val="00FB6CDF"/>
    <w:rsid w:val="00FC201B"/>
    <w:rsid w:val="00FC544A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16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1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164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46E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46E22"/>
    <w:rPr>
      <w:sz w:val="22"/>
      <w:szCs w:val="22"/>
      <w:lang w:eastAsia="en-US"/>
    </w:rPr>
  </w:style>
  <w:style w:type="table" w:styleId="a9">
    <w:name w:val="Table Grid"/>
    <w:basedOn w:val="a1"/>
    <w:rsid w:val="000B25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CB7F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b">
    <w:name w:val="page number"/>
    <w:basedOn w:val="a0"/>
    <w:rsid w:val="00E34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9C04-409E-45C1-9846-39574C8E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Омутнинского района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Шорина</dc:creator>
  <cp:lastModifiedBy>User1</cp:lastModifiedBy>
  <cp:revision>60</cp:revision>
  <cp:lastPrinted>2022-08-22T07:58:00Z</cp:lastPrinted>
  <dcterms:created xsi:type="dcterms:W3CDTF">2020-08-07T12:23:00Z</dcterms:created>
  <dcterms:modified xsi:type="dcterms:W3CDTF">2022-08-22T07:59:00Z</dcterms:modified>
</cp:coreProperties>
</file>